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Lesson 1: Title of your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665"/>
        <w:gridCol w:w="9030"/>
        <w:tblGridChange w:id="0">
          <w:tblGrid>
            <w:gridCol w:w="1665"/>
            <w:gridCol w:w="903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9f8"/>
                <w:sz w:val="52"/>
                <w:szCs w:val="52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9f8"/>
                <w:sz w:val="44"/>
                <w:szCs w:val="44"/>
                <w:rtl w:val="0"/>
              </w:rPr>
              <w:t xml:space="preserve">esson Learning Objectives</w:t>
            </w:r>
          </w:p>
        </w:tc>
      </w:tr>
      <w:tr>
        <w:trPr>
          <w:trHeight w:val="43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44"/>
                <w:szCs w:val="14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At the end of this lesson, you should be able to: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</w:t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</w:t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</w:t>
            </w:r>
          </w:p>
          <w:p w:rsidR="00000000" w:rsidDel="00000000" w:rsidP="00000000" w:rsidRDefault="00000000" w:rsidRPr="00000000">
            <w:pPr>
              <w:widowControl w:val="0"/>
              <w:spacing w:after="200" w:line="331.2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